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1A2A" w14:textId="601F18E3"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6965AACD" w14:textId="77777777" w:rsidR="00C67253" w:rsidRDefault="004B50AA" w:rsidP="00C67253">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PREFA 2018 roof and façade systems</w:t>
      </w:r>
    </w:p>
    <w:p w14:paraId="7C5669BD"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A236DC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5C361C6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ECFB28"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Title 02.02 PREFA siding</w:t>
      </w:r>
    </w:p>
    <w:p w14:paraId="786BEF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D182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80F03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048CF7FB"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2F1204E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1536FB4"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58F13F6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3A1A4BA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DD51B77" w14:textId="77777777"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138B56E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6390EDD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A017E3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3652E7E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5977B6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F66339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ED6673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242CC1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79CC57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450D6D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C4E4001" w14:textId="425C0252"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10FA6106" w14:textId="77777777"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7068E3FD" w14:textId="77777777"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02FF65B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1AECBF5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77470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191EFC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CB0C2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9F1695" w14:textId="3C6BF61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02.02.1 Façade cladding with PREFA sidings 138/0.7</w:t>
      </w:r>
    </w:p>
    <w:p w14:paraId="4E320BC0" w14:textId="7C1F32DE"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sidings; including PREFA fixing material (concealed fastening; with bolted joints; in accordance with the implementation plan and the structural requirements); in a straight line and aligned on the existing substructure.</w:t>
      </w:r>
    </w:p>
    <w:p w14:paraId="70F99260"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31714D9C"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2BB2054" w14:textId="66449934"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Width: 138 mm (visible width)</w:t>
      </w:r>
    </w:p>
    <w:p w14:paraId="3FD41B5F" w14:textId="75C6BEFA"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500-6,200 mm</w:t>
      </w:r>
    </w:p>
    <w:p w14:paraId="472AD1B8" w14:textId="39395AED"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 mm</w:t>
      </w:r>
    </w:p>
    <w:p w14:paraId="50BC614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3.2 kg/m²</w:t>
      </w:r>
    </w:p>
    <w:p w14:paraId="65EBB32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(fully recyclable)</w:t>
      </w:r>
    </w:p>
    <w:p w14:paraId="1E45F13C"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7C44587F" w14:textId="4E9829FB"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Front: P.10 or Duragloss 5000 coil coating</w:t>
      </w:r>
    </w:p>
    <w:p w14:paraId="6503E7D6"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61E1E591"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3230C9F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14BFC2F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smooth / stucco / lined</w:t>
      </w:r>
    </w:p>
    <w:p w14:paraId="1BA87D11" w14:textId="01C1D5C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Shadow gap: with/without (width: 15 mm / depth: 7 mm)</w:t>
      </w:r>
    </w:p>
    <w:p w14:paraId="29D2B32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horizontal / vertical / diagonal</w:t>
      </w:r>
    </w:p>
    <w:p w14:paraId="132F4E3D" w14:textId="6429FFC6"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18D92BB1" w14:textId="1D08D94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5E6DDB3F" w14:textId="31E3A564"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3780F7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AB52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89462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9561D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B0692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BEA8C7" w14:textId="6B6779E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02.02.2 Façade cladding with PREFA sidings 200/1.0</w:t>
      </w:r>
    </w:p>
    <w:p w14:paraId="6E5DA931" w14:textId="22C75B04"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sidings; including PREFA fixing material (concealed fastening; with bolted joints; in accordance with the implementation plan and the structural requirements); in a straight line and aligned on the existing substructure.</w:t>
      </w:r>
    </w:p>
    <w:p w14:paraId="1A30A0E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5699B188"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13C92A9" w14:textId="4EA1421C"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Width: 200 mm (visible width)</w:t>
      </w:r>
    </w:p>
    <w:p w14:paraId="6BD33894" w14:textId="364D601E"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500-6,200 mm</w:t>
      </w:r>
    </w:p>
    <w:p w14:paraId="212E8825" w14:textId="14842EFD"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1129A90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4.0 kg/m²</w:t>
      </w:r>
    </w:p>
    <w:p w14:paraId="0645D36D"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(fully recyclable)</w:t>
      </w:r>
    </w:p>
    <w:p w14:paraId="3FCCAF53"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2A6EDBDE" w14:textId="1E203477" w:rsidR="004B50AA" w:rsidRPr="004773EB" w:rsidRDefault="004B50AA" w:rsidP="00C67253">
      <w:pPr>
        <w:widowControl w:val="0"/>
        <w:autoSpaceDE w:val="0"/>
        <w:autoSpaceDN w:val="0"/>
        <w:adjustRightInd w:val="0"/>
        <w:ind w:right="1870"/>
        <w:rPr>
          <w:rFonts w:ascii="Arial" w:hAnsi="Arial" w:cs="Arial"/>
          <w:color w:val="FF0000"/>
          <w:sz w:val="20"/>
          <w:szCs w:val="20"/>
        </w:rPr>
      </w:pPr>
      <w:r>
        <w:rPr>
          <w:rFonts w:ascii="Arial" w:hAnsi="Arial"/>
          <w:sz w:val="20"/>
          <w:szCs w:val="20"/>
        </w:rPr>
        <w:t>Front: P.10 or Duragloss 5000 coil coating</w:t>
      </w:r>
    </w:p>
    <w:p w14:paraId="79F5AFE2"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616961F1"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22DF49AC"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6B1A0D4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smooth / stucco / lined</w:t>
      </w:r>
    </w:p>
    <w:p w14:paraId="617BFC56" w14:textId="0F26EE11"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Shadow gap: with/without (width: 15 mm / depth: 7 mm)</w:t>
      </w:r>
    </w:p>
    <w:p w14:paraId="6C8C5B36"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horizontal / vertical / diagonal</w:t>
      </w:r>
    </w:p>
    <w:p w14:paraId="5F941D01" w14:textId="044DFBCD"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502988E7" w14:textId="7C75CE5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6475E214" w14:textId="377E18DC"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196F03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D848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6DE0A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8511E8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0CADB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70C6FC" w14:textId="64716A2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02.02.3 Façade cladding with PREFA sidings 300/1.2</w:t>
      </w:r>
    </w:p>
    <w:p w14:paraId="018E56F1" w14:textId="4E5AF915"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sidings; including PREFA fixing material (concealed fastening; with bolted joints and storm-proof clips; in accordance with the implementation plan and the structural requirements); in a straight line and aligned on the existing substructure.</w:t>
      </w:r>
    </w:p>
    <w:p w14:paraId="4CAA012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30FB94A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E8223C8" w14:textId="6A252442"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Width: 300 mm (visible width)</w:t>
      </w:r>
    </w:p>
    <w:p w14:paraId="21A37F15" w14:textId="2F3D30EA"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500-6,200 mm</w:t>
      </w:r>
    </w:p>
    <w:p w14:paraId="184F10CA" w14:textId="23045E83"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1.2 mm</w:t>
      </w:r>
    </w:p>
    <w:p w14:paraId="2C43C5CA"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4.2 kg/m²</w:t>
      </w:r>
    </w:p>
    <w:p w14:paraId="3F0796E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(fully recyclable)</w:t>
      </w:r>
    </w:p>
    <w:p w14:paraId="2134B818"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7E872F95" w14:textId="3849FFD9" w:rsidR="004B50AA" w:rsidRPr="004773EB" w:rsidRDefault="004B50AA" w:rsidP="00C67253">
      <w:pPr>
        <w:widowControl w:val="0"/>
        <w:autoSpaceDE w:val="0"/>
        <w:autoSpaceDN w:val="0"/>
        <w:adjustRightInd w:val="0"/>
        <w:ind w:right="1870"/>
        <w:rPr>
          <w:rFonts w:ascii="Arial" w:hAnsi="Arial" w:cs="Arial"/>
          <w:color w:val="000000"/>
          <w:sz w:val="20"/>
          <w:szCs w:val="20"/>
        </w:rPr>
      </w:pPr>
      <w:r>
        <w:rPr>
          <w:rFonts w:ascii="Arial" w:hAnsi="Arial"/>
          <w:sz w:val="20"/>
          <w:szCs w:val="20"/>
        </w:rPr>
        <w:t>Front: P.10 or Duragloss 5000 coil coating</w:t>
      </w:r>
    </w:p>
    <w:p w14:paraId="2339502E"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68C5C1A9"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05A35F24"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6785AD62"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smooth / stucco / lined</w:t>
      </w:r>
    </w:p>
    <w:p w14:paraId="0E59897B" w14:textId="77E1EF51"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Shadow gap: with/without (width: 15 mm / depth: 7 mm)</w:t>
      </w:r>
    </w:p>
    <w:p w14:paraId="1BFBF759"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horizontal / vertical / diagonal</w:t>
      </w:r>
    </w:p>
    <w:p w14:paraId="2C4CC5A2" w14:textId="17A11F3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1846A974" w14:textId="3FB0C30D"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69DF7332" w14:textId="2855153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3C533D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7985C0"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10D0C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A9B2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24A18A" w14:textId="61FFEB8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02.02.4 Façade cladding with PREFA sidings 400/1.2</w:t>
      </w:r>
    </w:p>
    <w:p w14:paraId="19561263" w14:textId="486F35B8"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sidings; including PREFA fixing material (concealed fastening; with bolted joints and storm-proof clips; in accordance with the implementation plan and the structural requirements); in a straight line and aligned on the existing substructure.</w:t>
      </w:r>
    </w:p>
    <w:p w14:paraId="160C1F2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6A13138C"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8E1C489" w14:textId="6BE060C9"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Width: 400 mm (visible width)</w:t>
      </w:r>
    </w:p>
    <w:p w14:paraId="083DC471" w14:textId="0ABADA8F"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500-6,200 mm</w:t>
      </w:r>
    </w:p>
    <w:p w14:paraId="44A5E284" w14:textId="2486BB2F"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1.2 mm</w:t>
      </w:r>
    </w:p>
    <w:p w14:paraId="2AEFB606"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4.0 kg/m²</w:t>
      </w:r>
    </w:p>
    <w:p w14:paraId="4926D66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(fully recyclable)</w:t>
      </w:r>
    </w:p>
    <w:p w14:paraId="71FB04AD"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45EF5EF4" w14:textId="4945A86D" w:rsidR="004B50AA" w:rsidRPr="004773EB" w:rsidRDefault="004B50AA" w:rsidP="00C67253">
      <w:pPr>
        <w:widowControl w:val="0"/>
        <w:autoSpaceDE w:val="0"/>
        <w:autoSpaceDN w:val="0"/>
        <w:adjustRightInd w:val="0"/>
        <w:ind w:right="1870"/>
        <w:rPr>
          <w:rFonts w:ascii="Arial" w:hAnsi="Arial" w:cs="Arial"/>
          <w:color w:val="000000"/>
          <w:sz w:val="20"/>
          <w:szCs w:val="20"/>
        </w:rPr>
      </w:pPr>
      <w:r>
        <w:rPr>
          <w:rFonts w:ascii="Arial" w:hAnsi="Arial"/>
          <w:sz w:val="20"/>
          <w:szCs w:val="20"/>
        </w:rPr>
        <w:t>Front: P.10 or Duragloss 5000 coil coating</w:t>
      </w:r>
    </w:p>
    <w:p w14:paraId="0B1A8518"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1370A404"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6350ED11"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32A3872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smooth / stucco / lined</w:t>
      </w:r>
    </w:p>
    <w:p w14:paraId="4685E007" w14:textId="1A5F828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Shadow gap: with/without (width: 15 mm / depth: 7 mm)</w:t>
      </w:r>
    </w:p>
    <w:p w14:paraId="18F05119"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horizontal / vertical / diagonal</w:t>
      </w:r>
    </w:p>
    <w:p w14:paraId="5663FCC7" w14:textId="4D3EC83C"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54E5502F" w14:textId="21A14D3C"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7C41F882" w14:textId="47804C4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09E780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387581"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E009D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AC9D3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18B58D" w14:textId="11B42F2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02.02.5 Façade cladding with PREFA siding.X</w:t>
      </w:r>
    </w:p>
    <w:p w14:paraId="3BF9C940" w14:textId="081BF253"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sidings.X in various visible widths; including PREFA fixing material (concealed fastening; with bolted joints and storm-proof clips [for a visible width &gt; 200 mm]; in accordance with the implementation plan and the structural requirements); in a straight line and aligned on the existing substructure.</w:t>
      </w:r>
    </w:p>
    <w:p w14:paraId="78AA6CB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3D19D232" w14:textId="77777777" w:rsidR="004B50AA" w:rsidRPr="003C6144" w:rsidRDefault="004B50AA" w:rsidP="00C67253">
      <w:pPr>
        <w:widowControl w:val="0"/>
        <w:autoSpaceDE w:val="0"/>
        <w:autoSpaceDN w:val="0"/>
        <w:adjustRightInd w:val="0"/>
        <w:ind w:right="1870"/>
        <w:rPr>
          <w:rFonts w:ascii="Arial" w:hAnsi="Arial" w:cs="Arial"/>
          <w:sz w:val="20"/>
          <w:lang w:eastAsia="de-DE"/>
        </w:rPr>
      </w:pPr>
    </w:p>
    <w:p w14:paraId="22A18BAD" w14:textId="26B71DCC"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Width: 200, 300, 400 mm (visible width)</w:t>
      </w:r>
    </w:p>
    <w:p w14:paraId="2A783893" w14:textId="5ABD257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500-6,200 mm</w:t>
      </w:r>
    </w:p>
    <w:p w14:paraId="611F393D" w14:textId="17D3253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05E3D133"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3.4–4.0 kg/m²</w:t>
      </w:r>
    </w:p>
    <w:p w14:paraId="0FDD448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(fully recyclable)</w:t>
      </w:r>
    </w:p>
    <w:p w14:paraId="369BC9D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1199FC51" w14:textId="1661F5C0"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Front: P.10 or Duragloss 5000 coil coating</w:t>
      </w:r>
    </w:p>
    <w:p w14:paraId="5B717B67"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2B97FF4D"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012A017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4388146B"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smooth</w:t>
      </w:r>
    </w:p>
    <w:p w14:paraId="568417F3" w14:textId="60F6411B"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Shadow gap: with/without (width: 15 mm / depth: 7 mm)</w:t>
      </w:r>
    </w:p>
    <w:p w14:paraId="2497AABB"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horizontal / vertical / diagonal</w:t>
      </w:r>
    </w:p>
    <w:p w14:paraId="697D9F86" w14:textId="5BF288E5"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135DBE7C" w14:textId="40D2FF6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0E61569E" w14:textId="07E1E6A5"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4744AE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E2CE4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104A1F"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3F82F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5448F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7FA42A" w14:textId="3FEC769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02.02.6 Lower connection of the PREFA siding</w:t>
      </w:r>
    </w:p>
    <w:p w14:paraId="72C9ABD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3DD1FCA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D61FEE"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093CD12"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12EFC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62A0BA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B2F67B7"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flashing:</w:t>
      </w:r>
    </w:p>
    <w:p w14:paraId="74AAC6F9" w14:textId="60DC292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6A02316" w14:textId="467E5D4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 mm</w:t>
      </w:r>
    </w:p>
    <w:p w14:paraId="586EDA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CA2CAC"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Insertion profile:</w:t>
      </w:r>
    </w:p>
    <w:p w14:paraId="7A209C2C" w14:textId="1C26505F"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120 mm</w:t>
      </w:r>
    </w:p>
    <w:p w14:paraId="50142E15" w14:textId="42DE98FD"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3138BD43" w14:textId="6CA9B38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8C180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77A4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2F71C09"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CFB3C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B435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94512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02.02.7 PREFA drip</w:t>
      </w:r>
    </w:p>
    <w:p w14:paraId="55FB17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drip for lower connection, horizontal separation and top window connection. Including fixing material, joint connector and attachment to the façade cladding.</w:t>
      </w:r>
    </w:p>
    <w:p w14:paraId="1CD453C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89FA1DD" w14:textId="47576868"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3F114C37" w14:textId="445BC87E"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15A5A4E9" w14:textId="55690FB9"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0EB44AB3"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35A27684"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4A9765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42E30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B0FA409"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214D9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D64F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C569B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02.02.8 PREFA channel profile</w:t>
      </w:r>
    </w:p>
    <w:p w14:paraId="1C75F6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channel profiles for wall connection and top connection; including fixing material, sealants and attachment to the PREFA façade cladding.</w:t>
      </w:r>
    </w:p>
    <w:p w14:paraId="748589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208B6E4" w14:textId="47CB360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150 mm</w:t>
      </w:r>
    </w:p>
    <w:p w14:paraId="635D1D6C" w14:textId="507BE2D9"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063E94D9" w14:textId="0A42D75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29E10FCA"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A2792BF"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B3585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F4E55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40D022"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07D81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ECE3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F34AE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02.02.9 PREFA starter profile (horizontal siding)</w:t>
      </w:r>
    </w:p>
    <w:p w14:paraId="238E8D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start profiles for the bottom connection and horizontal separation, in the case of horizontally installed PREFA ripple profile. Including fixing material and attachment to the PREFA siding.</w:t>
      </w:r>
    </w:p>
    <w:p w14:paraId="2ED6C6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770D27" w14:textId="7834EF5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71 mm</w:t>
      </w:r>
    </w:p>
    <w:p w14:paraId="72403D26" w14:textId="7B0D77A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2576CC8D" w14:textId="1A26276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5991F1E5"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4EF9D2A1"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1124EA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660CA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3F4BBE"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9496D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EFFC3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AAF7D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02.02.10 PREFA starter profile (vertical siding)</w:t>
      </w:r>
    </w:p>
    <w:p w14:paraId="46F389C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start profiles for construction of corners and lateral wall connections, in the case of vertically installed PREFA ripple profile. Including fixing material and attachment to the PREFA siding.</w:t>
      </w:r>
    </w:p>
    <w:p w14:paraId="07F8EBC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795D38" w14:textId="583F9EF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71 mm</w:t>
      </w:r>
    </w:p>
    <w:p w14:paraId="11FA3531" w14:textId="7591CB4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46D7586A" w14:textId="38071542"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4E67BC83"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7CB7DDE7"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4C8F1D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BF26F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AFCD52"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96497F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27662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987BF1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02.02.11 PREFA perforated plate (vertical siding)</w:t>
      </w:r>
    </w:p>
    <w:p w14:paraId="27B9A6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for the bottom connection, horizontal separations and top window connection including fixing material and attachment to PREFA sidings.</w:t>
      </w:r>
    </w:p>
    <w:p w14:paraId="1828CC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30FDDA" w14:textId="3A315322"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80 mm</w:t>
      </w:r>
    </w:p>
    <w:p w14:paraId="22879A65" w14:textId="519F3DB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473AD475" w14:textId="39DF1464"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36F5561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7CF44BB3"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3091DB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FC4FF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383B578"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ED59DC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12A5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5D265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02.02.12 PREFA joint (vertical joints)</w:t>
      </w:r>
    </w:p>
    <w:p w14:paraId="229397A4"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joints for the vertical joints of the offset siding façade.</w:t>
      </w:r>
    </w:p>
    <w:p w14:paraId="132D3A7C" w14:textId="2B5771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Suitable for sidings 138 mm, 200 mm, 300 mm and 400 mm, with or without shadow gap; maximum siding length: 2,500 mm.</w:t>
      </w:r>
    </w:p>
    <w:p w14:paraId="49295A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857839"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561F7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73006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8E3F778" w14:textId="23B2420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02.02.13 Vertical separation for PREFA sidings (joint connection)</w:t>
      </w:r>
    </w:p>
    <w:p w14:paraId="4C996DF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vertical separation mounted with PREFA joint connection, in the case of horizontally installed PREFA sidings. Including fixing material and attachment to the PREFA siding.</w:t>
      </w:r>
    </w:p>
    <w:p w14:paraId="351C7F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153A153" w14:textId="0A9678B6"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150 mm</w:t>
      </w:r>
    </w:p>
    <w:p w14:paraId="2060A87F" w14:textId="0F1C8500"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5 pc.</w:t>
      </w:r>
    </w:p>
    <w:p w14:paraId="372CE495"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049F6CE"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08E0C0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4708E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26573C"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2ED58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65CF68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6AE274" w14:textId="58A6AA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02.02.14 Vertical separation for PREFA sidings (metal sheathing)</w:t>
      </w:r>
    </w:p>
    <w:p w14:paraId="4A7E39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vertical separation with metal sheathing, in the case of horizontally installed PREFA sidings. Including fixing material and attachment to the PREFA siding.</w:t>
      </w:r>
    </w:p>
    <w:p w14:paraId="6765818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2687EF" w14:textId="58B12AFD"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120 mm</w:t>
      </w:r>
    </w:p>
    <w:p w14:paraId="2D39B3A4" w14:textId="780BCC2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2 pc.</w:t>
      </w:r>
    </w:p>
    <w:p w14:paraId="19AD6FED"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DAB864E"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84C2273"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BD24D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F4EC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31A1A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3144D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EB37C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C867DA" w14:textId="0D2A7B2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02.02.15 Vertical separation for PREFA sidings (cover strip)</w:t>
      </w:r>
    </w:p>
    <w:p w14:paraId="7144DF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vertical separation with cover strip, in the case of horizontally installed PREFA sidings. Including fixing material and attachment to the PREFA siding.</w:t>
      </w:r>
    </w:p>
    <w:p w14:paraId="7A3B37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D2D53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F4A66D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45800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6F2B2D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690771C"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strip:</w:t>
      </w:r>
    </w:p>
    <w:p w14:paraId="4F366787" w14:textId="4E5CFDB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100 mm</w:t>
      </w:r>
    </w:p>
    <w:p w14:paraId="752E97A2" w14:textId="0D2A04E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2 pc.</w:t>
      </w:r>
    </w:p>
    <w:p w14:paraId="177C09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8FEEBD" w14:textId="5591A46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Channel profile: 2 pc./joint</w:t>
      </w:r>
    </w:p>
    <w:p w14:paraId="08C67B2A" w14:textId="0F41BB44"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150 mm</w:t>
      </w:r>
    </w:p>
    <w:p w14:paraId="416FBE11" w14:textId="374DCD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3 pc.</w:t>
      </w:r>
    </w:p>
    <w:p w14:paraId="76DB7AC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D01EDA5"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E06CC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E20F7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793F8B" w14:textId="31C340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02.02.16 Construction of protruding and recessed corners — PREFA siding (one part)</w:t>
      </w:r>
    </w:p>
    <w:p w14:paraId="3287B17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(one part); including fixing material and attachment to the PREFA façade cladding.</w:t>
      </w:r>
    </w:p>
    <w:p w14:paraId="1AB08A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1BB9A7F" w14:textId="60DB86E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200 mm</w:t>
      </w:r>
    </w:p>
    <w:p w14:paraId="1522A945" w14:textId="601225F6"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6DC47935" w14:textId="2AB4B2D4"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256ADF7D"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00C945B"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DA427A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D91D4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9DEA4E"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B329B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8E51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CADE78" w14:textId="2D6EDA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02.02.17 Construction of protruding and recessed corners — PREFA siding (two parts)</w:t>
      </w:r>
    </w:p>
    <w:p w14:paraId="2EC54A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61D0B7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F0B8D19" w14:textId="483FB863"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1930B8F9" w14:textId="4E8A6C2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7D34E778" w14:textId="110E61C9"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71A0DD94"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436161B0"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9ED7E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71D74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0BBEC0"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DA19A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B6B6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80A766" w14:textId="2EEC986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02.02.18 Construction of protruding and recessed corners — PREFA siding (three parts)</w:t>
      </w:r>
    </w:p>
    <w:p w14:paraId="61A2B1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39916C1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AECFD76" w14:textId="42BD943A"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10C44D72" w14:textId="1E9BFCE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55DBBD05"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9EF41E7"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Material quality: same as the main item</w:t>
      </w:r>
    </w:p>
    <w:p w14:paraId="1AC03A0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B7DC7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69A6DC"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732E8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016D7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CD1891C" w14:textId="09A340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02.02.19 Corner construction with PREFA corner siding (horizontal siding)</w:t>
      </w:r>
    </w:p>
    <w:p w14:paraId="2D85BBF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corner constructions with PREFA corner sidings (protruding corner) in the case of horizontal installation; including fixing material and attachment to PREFA sidings.</w:t>
      </w:r>
    </w:p>
    <w:p w14:paraId="7E88761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427A3F4"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FC99FAF"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4FFC07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2873813" w14:textId="6E79685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Side length on both sides: 500 mm (internal dimension)</w:t>
      </w:r>
    </w:p>
    <w:p w14:paraId="387EF6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B57042"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0A082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ACB9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5CEB15" w14:textId="7D4A058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02.02.20 Corner construction with PREFA siding (recessed, vertical siding)</w:t>
      </w:r>
    </w:p>
    <w:p w14:paraId="18B3636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corner constructions with PREFA sidings in the case of vertical installation; including start profile, fixing material and attachment to PREFA sidings.</w:t>
      </w:r>
    </w:p>
    <w:p w14:paraId="34F9AAB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179DE0"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A1081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3E3D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B7C9EC" w14:textId="2E44F0B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02.02.21 Vertical window/door connection (reveal) made of PREFA flashing strip</w:t>
      </w:r>
    </w:p>
    <w:p w14:paraId="41CA4C2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vertical window/door connections (reveal) made of PREFA flashing strip. Including fixing material and sealants and attachment to the PREFA façade cladding, window ledge and lintel. Make sure that the thermal insulation is correctly attached to the frame.</w:t>
      </w:r>
    </w:p>
    <w:p w14:paraId="08D88A2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639AC8C"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D9D6CA6"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B5DE476"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1C1259A3" w14:textId="5D72CDB5"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070582BB" w14:textId="2FDB4DCE"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79750277"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8EC9AD3"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7FC536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3618DD4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2EDC97A"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2757419C" w14:textId="7EC6F899"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597CD3EA" w14:textId="64419873"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4DA9479" w14:textId="691370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707E9E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A5BF6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5AD93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1121C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497CA0" w14:textId="3023671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02.02.22 Horizontal window/door connection (lintel) made of PREFA flashing strip</w:t>
      </w:r>
    </w:p>
    <w:p w14:paraId="613EDBD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4384BF8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6B400D2"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52905845" w14:textId="7C5F2220"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0697430F" w14:textId="7D1B87B3"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73F450D1"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ECD4EDE"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5579F0C"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2D7D67B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F001DC9"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0283871C" w14:textId="566E5DBA"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0AE2DD8B" w14:textId="27135B99"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3C59E2F5" w14:textId="4CF096B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5F64AA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DDD76C"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09E24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E63E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E78E5A" w14:textId="09E98D2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02.02.23 Window ledges made of PREFA flashing strip</w:t>
      </w:r>
    </w:p>
    <w:p w14:paraId="724D08C8" w14:textId="0126527F"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1056C4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C45A4B"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66C8DE96" w14:textId="3E49CA1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3101DB3" w14:textId="210E012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5C5023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096F17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D266F8"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73C4F741" w14:textId="5087B6E0"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64E7D89"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6C32D399" w14:textId="15582DC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74EC84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B07064"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BD468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C523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027EA6" w14:textId="3D58885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02.02.24 Roof parapet flashing made of PREFA flashing strip</w:t>
      </w:r>
    </w:p>
    <w:p w14:paraId="56C162B2" w14:textId="6723E808"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53F42FF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59DFEBE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E6984A2" w14:textId="3FFD08FD"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1122FE4" w14:textId="661BC5F9"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21C40D2E"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793A5EE5"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 H41</w:t>
      </w:r>
    </w:p>
    <w:p w14:paraId="4F577871" w14:textId="07E0D04A"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69B46DA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9DE868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DB454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EFE82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E229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6745EC" w14:textId="70BF895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02.02.25 Production of penetrations</w:t>
      </w:r>
    </w:p>
    <w:p w14:paraId="2BF22C8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04A3F17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725C30" w14:textId="5685EDC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5E4752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3A0FB4"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B795A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81D4D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CEDD39" w14:textId="687E2E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02.02.26 Installation of wood panels behind the PREFA sidings positioned in the base area</w:t>
      </w:r>
    </w:p>
    <w:p w14:paraId="6F09B87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wood panels behind the PREFA sidings positioned in the base area; including fixing material. The width depends on the siding visible width.</w:t>
      </w:r>
    </w:p>
    <w:p w14:paraId="62F752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2A8FD5" w14:textId="0DEDB07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20 mm</w:t>
      </w:r>
    </w:p>
    <w:p w14:paraId="0CDCBCF1" w14:textId="402B2B4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 mm</w:t>
      </w:r>
    </w:p>
    <w:p w14:paraId="0B4925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3E97F5"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C5851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3A3C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C3617F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02.02.27 PREFA perforated plate for ventilated façades</w:t>
      </w:r>
    </w:p>
    <w:p w14:paraId="6241CF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11C3000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E4D6CD" w14:textId="43A8D27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6112A2C"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3B8BC090"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7B672CCD"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402EA22B" w14:textId="19A884D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8102276" w14:textId="5B7D3516"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7E06F6B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3388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179EDF"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53697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5420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7944B0" w14:textId="2ABC30A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02.02.28 Skilled worker hourly rate</w:t>
      </w:r>
    </w:p>
    <w:p w14:paraId="7F4CCC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405715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F3BF69" w14:textId="42E619D0"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0D030EF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60E7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59748B3" w14:textId="758DD68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02.02.29 Assistant hourly rate</w:t>
      </w:r>
    </w:p>
    <w:p w14:paraId="37CCC3E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458577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C4819E4" w14:textId="000F191D"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651606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F5488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4ECFDA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Title 02.02 PREFA siding  TP ____________</w:t>
      </w:r>
    </w:p>
    <w:p w14:paraId="62CC8F04"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5C977CFE"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3AA315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8591A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Title 02.02 PREFA siding</w:t>
      </w:r>
    </w:p>
    <w:p w14:paraId="2830C081" w14:textId="77777777" w:rsidR="004B50AA" w:rsidRPr="004773EB"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7155E7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A7ED18"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503F647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2AFD4221"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50DEC839" w14:textId="77777777" w:rsidR="004B50AA" w:rsidRPr="003C6144" w:rsidRDefault="004B50AA" w:rsidP="00C67253">
      <w:pPr>
        <w:rPr>
          <w:sz w:val="20"/>
        </w:rPr>
      </w:pPr>
    </w:p>
    <w:p w14:paraId="0DB4238D" w14:textId="77777777" w:rsidR="004B50AA" w:rsidRPr="003C6144" w:rsidRDefault="004B50AA">
      <w:pPr>
        <w:rPr>
          <w:sz w:val="20"/>
        </w:rPr>
      </w:pPr>
    </w:p>
    <w:sectPr w:rsidR="004B50AA"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69F4925D"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8A7C85">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8A7C85">
      <w:rPr>
        <w:noProof/>
        <w:sz w:val="20"/>
      </w:rPr>
      <w:t>13</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8A7C85"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8A7C85">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A7C85"/>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0D74"/>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AAB7177-0CD8-4A1F-B96C-5A902E95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2497</Words>
  <Characters>15735</Characters>
  <Application>Microsoft Office Word</Application>
  <DocSecurity>0</DocSecurity>
  <Lines>131</Lines>
  <Paragraphs>36</Paragraphs>
  <ScaleCrop>false</ScaleCrop>
  <Company>XXL Communication</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2018-07-23T11:27:00Z</dcterms:modified>
</cp:coreProperties>
</file>